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"/>
        <w:widowControl w:val="false"/>
        <w:spacing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Normal"/>
        <w:widowControl w:val="false"/>
        <w:spacing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Normal"/>
        <w:widowControl w:val="false"/>
        <w:spacing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Normal"/>
        <w:widowControl w:val="false"/>
        <w:spacing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LAVRAS DA MANGABEIRA/CE, [INDICAR DIA, MÊS E ANO].</w:t>
      </w:r>
    </w:p>
    <w:p>
      <w:pPr>
        <w:pStyle w:val="Normal"/>
        <w:widowControl w:val="false"/>
        <w:spacing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spacing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Normal"/>
        <w:widowControl w:val="false"/>
        <w:spacing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Normal"/>
        <w:widowControl w:val="false"/>
        <w:spacing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Normal"/>
        <w:widowControl w:val="false"/>
        <w:spacing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Normal"/>
        <w:widowControl w:val="false"/>
        <w:spacing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Normal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Normal"/>
        <w:spacing w:lineRule="auto" w:line="290" w:before="0" w:after="188"/>
        <w:ind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19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114077919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4077919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Application>LibreOffice/7.1.1.2$Windows_X86_64 LibreOffice_project/fe0b08f4af1bacafe4c7ecc87ce55bb426164676</Application>
  <AppVersion>15.0000</AppVersion>
  <Pages>34</Pages>
  <Words>10765</Words>
  <Characters>58134</Characters>
  <CharactersWithSpaces>68762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2023-12-05T22:35:02Z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