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BBB1" w14:textId="50A70E47" w:rsidR="00BC43C6" w:rsidRPr="00550674" w:rsidRDefault="00BC43C6" w:rsidP="00DE4EF1">
      <w:pPr>
        <w:pBdr>
          <w:top w:val="nil"/>
          <w:left w:val="nil"/>
          <w:bottom w:val="nil"/>
          <w:right w:val="nil"/>
          <w:between w:val="nil"/>
        </w:pBdr>
        <w:spacing w:before="120" w:after="120" w:line="240" w:lineRule="auto"/>
        <w:ind w:right="120"/>
        <w:contextualSpacing/>
        <w:mirrorIndents/>
        <w:jc w:val="center"/>
        <w:rPr>
          <w:rFonts w:asciiTheme="majorHAnsi" w:hAnsiTheme="majorHAnsi" w:cstheme="majorHAnsi"/>
          <w:b/>
        </w:rPr>
      </w:pPr>
      <w:r w:rsidRPr="00550674">
        <w:rPr>
          <w:rFonts w:asciiTheme="majorHAnsi" w:hAnsiTheme="majorHAnsi" w:cstheme="majorHAnsi"/>
          <w:b/>
        </w:rPr>
        <w:t>EDITAL DE CHAMAMENTO PÚBLICO Nº 0</w:t>
      </w:r>
      <w:r w:rsidRPr="00550674">
        <w:rPr>
          <w:rFonts w:asciiTheme="majorHAnsi" w:hAnsiTheme="majorHAnsi" w:cstheme="majorHAnsi"/>
          <w:b/>
        </w:rPr>
        <w:t>2</w:t>
      </w:r>
      <w:r w:rsidRPr="00550674">
        <w:rPr>
          <w:rFonts w:asciiTheme="majorHAnsi" w:hAnsiTheme="majorHAnsi" w:cstheme="majorHAnsi"/>
          <w:b/>
        </w:rPr>
        <w:t>/2026</w:t>
      </w:r>
    </w:p>
    <w:p w14:paraId="3D85DB9A" w14:textId="77777777" w:rsidR="00BC43C6" w:rsidRPr="00550674" w:rsidRDefault="00BC43C6" w:rsidP="00DE4EF1">
      <w:pPr>
        <w:pBdr>
          <w:top w:val="nil"/>
          <w:left w:val="nil"/>
          <w:bottom w:val="nil"/>
          <w:right w:val="nil"/>
          <w:between w:val="nil"/>
        </w:pBdr>
        <w:spacing w:before="120" w:after="120" w:line="240" w:lineRule="auto"/>
        <w:ind w:left="120" w:right="120"/>
        <w:contextualSpacing/>
        <w:mirrorIndents/>
        <w:jc w:val="center"/>
        <w:rPr>
          <w:rFonts w:asciiTheme="majorHAnsi" w:hAnsiTheme="majorHAnsi" w:cstheme="majorHAnsi"/>
          <w:b/>
        </w:rPr>
      </w:pPr>
      <w:r w:rsidRPr="00550674">
        <w:rPr>
          <w:rFonts w:asciiTheme="majorHAnsi" w:hAnsiTheme="majorHAnsi" w:cstheme="majorHAnsi"/>
          <w:b/>
        </w:rPr>
        <w:t>SELEÇÃO DE PROJETOS PARA FIRMAR TERMO DE EXECUÇÃO CULTURAL</w:t>
      </w:r>
    </w:p>
    <w:p w14:paraId="7E261775" w14:textId="5EE13EAA" w:rsidR="00BC43C6" w:rsidRPr="00550674" w:rsidRDefault="00BC43C6" w:rsidP="00DE4EF1">
      <w:pPr>
        <w:pBdr>
          <w:top w:val="nil"/>
          <w:left w:val="nil"/>
          <w:bottom w:val="nil"/>
          <w:right w:val="nil"/>
          <w:between w:val="nil"/>
        </w:pBdr>
        <w:spacing w:before="120" w:after="120" w:line="240" w:lineRule="auto"/>
        <w:ind w:left="120" w:right="120"/>
        <w:contextualSpacing/>
        <w:mirrorIndents/>
        <w:jc w:val="center"/>
        <w:rPr>
          <w:rFonts w:asciiTheme="majorHAnsi" w:hAnsiTheme="majorHAnsi" w:cstheme="majorHAnsi"/>
          <w:b/>
        </w:rPr>
      </w:pPr>
      <w:r w:rsidRPr="00550674">
        <w:rPr>
          <w:rFonts w:asciiTheme="majorHAnsi" w:hAnsiTheme="majorHAnsi" w:cstheme="majorHAnsi"/>
          <w:b/>
        </w:rPr>
        <w:t>COM RECURSOS DA POLÍTICA NACIONAL ALDIR BLANC DE FOMENTO À CULTURA – PNAB (LEI Nº 14.399/2022)</w:t>
      </w:r>
    </w:p>
    <w:p w14:paraId="022DF04E" w14:textId="77777777" w:rsidR="00DE4EF1" w:rsidRPr="00550674" w:rsidRDefault="00DE4EF1" w:rsidP="00DE4EF1">
      <w:pPr>
        <w:pBdr>
          <w:top w:val="nil"/>
          <w:left w:val="nil"/>
          <w:bottom w:val="nil"/>
          <w:right w:val="nil"/>
          <w:between w:val="nil"/>
        </w:pBdr>
        <w:spacing w:before="120" w:after="120" w:line="240" w:lineRule="auto"/>
        <w:ind w:left="120" w:right="120"/>
        <w:contextualSpacing/>
        <w:mirrorIndents/>
        <w:jc w:val="center"/>
        <w:rPr>
          <w:rFonts w:asciiTheme="majorHAnsi" w:hAnsiTheme="majorHAnsi" w:cstheme="majorHAnsi"/>
        </w:rPr>
      </w:pPr>
    </w:p>
    <w:p w14:paraId="620893BA" w14:textId="77777777" w:rsidR="000648C0" w:rsidRPr="00550674" w:rsidRDefault="00266269" w:rsidP="00DE4EF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Theme="majorHAnsi" w:eastAsia="Calibri" w:hAnsiTheme="majorHAnsi" w:cstheme="majorHAnsi"/>
        </w:rPr>
      </w:pPr>
      <w:r w:rsidRPr="00550674">
        <w:rPr>
          <w:rFonts w:asciiTheme="majorHAnsi" w:eastAsia="Calibri" w:hAnsiTheme="majorHAnsi" w:cstheme="majorHAnsi"/>
          <w:b/>
        </w:rPr>
        <w:t>CULTURA VIVA DO TAMANHO DO BRASIL!</w:t>
      </w:r>
      <w:r w:rsidRPr="00550674">
        <w:rPr>
          <w:rFonts w:asciiTheme="majorHAnsi" w:eastAsia="Calibri" w:hAnsiTheme="majorHAnsi" w:cstheme="majorHAnsi"/>
        </w:rPr>
        <w:t xml:space="preserve"> </w:t>
      </w:r>
    </w:p>
    <w:p w14:paraId="7E183DED" w14:textId="31855602" w:rsidR="000648C0" w:rsidRPr="00550674" w:rsidRDefault="00266269" w:rsidP="00DE4EF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Theme="majorHAnsi" w:eastAsia="Calibri" w:hAnsiTheme="majorHAnsi" w:cstheme="majorHAnsi"/>
          <w:b/>
        </w:rPr>
      </w:pPr>
      <w:r w:rsidRPr="00550674">
        <w:rPr>
          <w:rFonts w:asciiTheme="majorHAnsi" w:eastAsia="Calibri" w:hAnsiTheme="majorHAnsi" w:cstheme="majorHAnsi"/>
          <w:b/>
        </w:rPr>
        <w:t>PREMIAÇÃO DE PONTOS E PONTÕES DE CULTURA</w:t>
      </w:r>
    </w:p>
    <w:p w14:paraId="6341658A" w14:textId="77777777" w:rsidR="00DE4EF1" w:rsidRPr="00550674" w:rsidRDefault="00DE4EF1" w:rsidP="00DE4EF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Theme="majorHAnsi" w:eastAsia="Calibri" w:hAnsiTheme="majorHAnsi" w:cstheme="majorHAnsi"/>
          <w:b/>
        </w:rPr>
      </w:pPr>
    </w:p>
    <w:p w14:paraId="1A697D3D" w14:textId="77777777" w:rsidR="000648C0" w:rsidRPr="00550674" w:rsidRDefault="00266269" w:rsidP="00DE4EF1">
      <w:pPr>
        <w:tabs>
          <w:tab w:val="center" w:pos="0"/>
        </w:tabs>
        <w:spacing w:before="120" w:after="120" w:line="240" w:lineRule="auto"/>
        <w:contextualSpacing/>
        <w:mirrorIndents/>
        <w:jc w:val="center"/>
        <w:rPr>
          <w:rFonts w:asciiTheme="majorHAnsi" w:eastAsia="Calibri" w:hAnsiTheme="majorHAnsi" w:cstheme="majorHAnsi"/>
          <w:b/>
          <w:u w:val="single"/>
        </w:rPr>
      </w:pPr>
      <w:r w:rsidRPr="00550674">
        <w:rPr>
          <w:rFonts w:asciiTheme="majorHAnsi" w:eastAsia="Calibri" w:hAnsiTheme="majorHAnsi" w:cstheme="majorHAnsi"/>
          <w:b/>
          <w:u w:val="single"/>
        </w:rPr>
        <w:t>ANEXO 01 - CATEGORIAS E COTAS</w:t>
      </w:r>
    </w:p>
    <w:p w14:paraId="5BF6558B" w14:textId="77777777" w:rsidR="000648C0" w:rsidRPr="00550674" w:rsidRDefault="000648C0" w:rsidP="00DE4EF1">
      <w:pPr>
        <w:tabs>
          <w:tab w:val="center" w:pos="0"/>
        </w:tabs>
        <w:spacing w:after="120" w:line="240" w:lineRule="auto"/>
        <w:contextualSpacing/>
        <w:mirrorIndents/>
        <w:jc w:val="both"/>
        <w:rPr>
          <w:rFonts w:asciiTheme="majorHAnsi" w:eastAsia="Calibri" w:hAnsiTheme="majorHAnsi" w:cstheme="majorHAnsi"/>
          <w:b/>
          <w:highlight w:val="yellow"/>
        </w:rPr>
      </w:pPr>
    </w:p>
    <w:p w14:paraId="143C91D0" w14:textId="77777777" w:rsidR="000648C0" w:rsidRPr="00550674" w:rsidRDefault="00266269" w:rsidP="00DE4EF1">
      <w:pPr>
        <w:tabs>
          <w:tab w:val="center" w:pos="0"/>
        </w:tabs>
        <w:spacing w:after="120" w:line="240" w:lineRule="auto"/>
        <w:contextualSpacing/>
        <w:mirrorIndents/>
        <w:jc w:val="both"/>
        <w:rPr>
          <w:rFonts w:asciiTheme="majorHAnsi" w:eastAsia="Calibri" w:hAnsiTheme="majorHAnsi" w:cstheme="majorHAnsi"/>
          <w:b/>
        </w:rPr>
      </w:pPr>
      <w:r w:rsidRPr="00550674">
        <w:rPr>
          <w:rFonts w:asciiTheme="majorHAnsi" w:eastAsia="Calibri" w:hAnsiTheme="majorHAnsi" w:cstheme="majorHAnsi"/>
          <w:b/>
        </w:rPr>
        <w:t>1. CATEGORIAS</w:t>
      </w:r>
    </w:p>
    <w:p w14:paraId="72B283A5" w14:textId="77777777" w:rsidR="000648C0" w:rsidRPr="00550674" w:rsidRDefault="000648C0" w:rsidP="00DE4EF1">
      <w:pPr>
        <w:tabs>
          <w:tab w:val="center" w:pos="0"/>
        </w:tabs>
        <w:spacing w:line="240" w:lineRule="auto"/>
        <w:contextualSpacing/>
        <w:mirrorIndents/>
        <w:jc w:val="both"/>
        <w:rPr>
          <w:rFonts w:asciiTheme="majorHAnsi" w:eastAsia="Calibri" w:hAnsiTheme="majorHAnsi" w:cstheme="majorHAnsi"/>
        </w:rPr>
      </w:pPr>
    </w:p>
    <w:p w14:paraId="45713BCA" w14:textId="77777777" w:rsidR="000648C0" w:rsidRPr="00550674" w:rsidRDefault="000648C0" w:rsidP="00DE4EF1">
      <w:pPr>
        <w:tabs>
          <w:tab w:val="center" w:pos="0"/>
        </w:tabs>
        <w:spacing w:line="240" w:lineRule="auto"/>
        <w:contextualSpacing/>
        <w:mirrorIndents/>
        <w:jc w:val="both"/>
        <w:rPr>
          <w:rFonts w:asciiTheme="majorHAnsi" w:eastAsia="Calibri" w:hAnsiTheme="majorHAnsi" w:cstheme="majorHAnsi"/>
        </w:rPr>
      </w:pPr>
    </w:p>
    <w:tbl>
      <w:tblPr>
        <w:tblStyle w:val="a1"/>
        <w:tblW w:w="139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4095"/>
        <w:gridCol w:w="4245"/>
        <w:gridCol w:w="5070"/>
      </w:tblGrid>
      <w:tr w:rsidR="00550674" w:rsidRPr="00550674" w14:paraId="5E6A72A9" w14:textId="77777777" w:rsidTr="00BF2DBC">
        <w:trPr>
          <w:cantSplit/>
        </w:trPr>
        <w:tc>
          <w:tcPr>
            <w:tcW w:w="555" w:type="dxa"/>
            <w:shd w:val="clear" w:color="auto" w:fill="D9D9D9" w:themeFill="background1" w:themeFillShade="D9"/>
            <w:tcMar>
              <w:top w:w="100" w:type="dxa"/>
              <w:left w:w="100" w:type="dxa"/>
              <w:bottom w:w="100" w:type="dxa"/>
              <w:right w:w="100" w:type="dxa"/>
            </w:tcMar>
            <w:vAlign w:val="center"/>
          </w:tcPr>
          <w:p w14:paraId="240F8F1F" w14:textId="77777777" w:rsidR="000648C0" w:rsidRPr="00550674" w:rsidRDefault="000648C0" w:rsidP="00DE4EF1">
            <w:pPr>
              <w:widowControl w:val="0"/>
              <w:spacing w:line="240" w:lineRule="auto"/>
              <w:contextualSpacing/>
              <w:mirrorIndents/>
              <w:jc w:val="center"/>
              <w:rPr>
                <w:rFonts w:asciiTheme="majorHAnsi" w:eastAsia="Calibri" w:hAnsiTheme="majorHAnsi" w:cstheme="majorHAnsi"/>
                <w:b/>
              </w:rPr>
            </w:pPr>
          </w:p>
        </w:tc>
        <w:tc>
          <w:tcPr>
            <w:tcW w:w="4095" w:type="dxa"/>
            <w:shd w:val="clear" w:color="auto" w:fill="D9D9D9" w:themeFill="background1" w:themeFillShade="D9"/>
            <w:tcMar>
              <w:top w:w="100" w:type="dxa"/>
              <w:left w:w="100" w:type="dxa"/>
              <w:bottom w:w="100" w:type="dxa"/>
              <w:right w:w="100" w:type="dxa"/>
            </w:tcMar>
            <w:vAlign w:val="center"/>
          </w:tcPr>
          <w:p w14:paraId="03F270D5" w14:textId="33DBAA90" w:rsidR="000648C0" w:rsidRPr="00550674" w:rsidRDefault="00266269" w:rsidP="00DE4EF1">
            <w:pPr>
              <w:widowControl w:val="0"/>
              <w:spacing w:line="240" w:lineRule="auto"/>
              <w:contextualSpacing/>
              <w:mirrorIndents/>
              <w:jc w:val="center"/>
              <w:rPr>
                <w:rFonts w:asciiTheme="majorHAnsi" w:eastAsia="Calibri" w:hAnsiTheme="majorHAnsi" w:cstheme="majorHAnsi"/>
                <w:b/>
              </w:rPr>
            </w:pPr>
            <w:r w:rsidRPr="00550674">
              <w:rPr>
                <w:rFonts w:asciiTheme="majorHAnsi" w:eastAsia="Calibri" w:hAnsiTheme="majorHAnsi" w:cstheme="majorHAnsi"/>
                <w:b/>
              </w:rPr>
              <w:t>NOME E DESCRIÇÃO DA CATEGORIA</w:t>
            </w:r>
          </w:p>
        </w:tc>
        <w:tc>
          <w:tcPr>
            <w:tcW w:w="4245" w:type="dxa"/>
            <w:shd w:val="clear" w:color="auto" w:fill="D9D9D9" w:themeFill="background1" w:themeFillShade="D9"/>
            <w:tcMar>
              <w:top w:w="100" w:type="dxa"/>
              <w:left w:w="100" w:type="dxa"/>
              <w:bottom w:w="100" w:type="dxa"/>
              <w:right w:w="100" w:type="dxa"/>
            </w:tcMar>
            <w:vAlign w:val="center"/>
          </w:tcPr>
          <w:p w14:paraId="06DF4352" w14:textId="77777777" w:rsidR="000648C0" w:rsidRPr="00550674" w:rsidRDefault="00266269" w:rsidP="00DE4EF1">
            <w:pPr>
              <w:widowControl w:val="0"/>
              <w:spacing w:line="240" w:lineRule="auto"/>
              <w:contextualSpacing/>
              <w:mirrorIndents/>
              <w:jc w:val="center"/>
              <w:rPr>
                <w:rFonts w:asciiTheme="majorHAnsi" w:eastAsia="Calibri" w:hAnsiTheme="majorHAnsi" w:cstheme="majorHAnsi"/>
                <w:b/>
              </w:rPr>
            </w:pPr>
            <w:r w:rsidRPr="00550674">
              <w:rPr>
                <w:rFonts w:asciiTheme="majorHAnsi" w:eastAsia="Calibri" w:hAnsiTheme="majorHAnsi" w:cstheme="majorHAnsi"/>
                <w:b/>
              </w:rPr>
              <w:t>NÚMERO DE VAGAS PARA CATEGORIA</w:t>
            </w:r>
          </w:p>
        </w:tc>
        <w:tc>
          <w:tcPr>
            <w:tcW w:w="5070" w:type="dxa"/>
            <w:shd w:val="clear" w:color="auto" w:fill="D9D9D9" w:themeFill="background1" w:themeFillShade="D9"/>
            <w:tcMar>
              <w:top w:w="100" w:type="dxa"/>
              <w:left w:w="100" w:type="dxa"/>
              <w:bottom w:w="100" w:type="dxa"/>
              <w:right w:w="100" w:type="dxa"/>
            </w:tcMar>
            <w:vAlign w:val="center"/>
          </w:tcPr>
          <w:p w14:paraId="3E264D26" w14:textId="77777777" w:rsidR="000648C0" w:rsidRPr="00550674" w:rsidRDefault="00266269" w:rsidP="00DE4EF1">
            <w:pPr>
              <w:widowControl w:val="0"/>
              <w:spacing w:line="240" w:lineRule="auto"/>
              <w:contextualSpacing/>
              <w:mirrorIndents/>
              <w:jc w:val="center"/>
              <w:rPr>
                <w:rFonts w:asciiTheme="majorHAnsi" w:eastAsia="Calibri" w:hAnsiTheme="majorHAnsi" w:cstheme="majorHAnsi"/>
                <w:b/>
                <w:highlight w:val="yellow"/>
              </w:rPr>
            </w:pPr>
            <w:r w:rsidRPr="00550674">
              <w:rPr>
                <w:rFonts w:asciiTheme="majorHAnsi" w:eastAsia="Calibri" w:hAnsiTheme="majorHAnsi" w:cstheme="majorHAnsi"/>
                <w:b/>
              </w:rPr>
              <w:t>VALOR TOTAL DISPONÍVEL POR PROJETO SELECIONADO (R$)</w:t>
            </w:r>
          </w:p>
        </w:tc>
      </w:tr>
      <w:tr w:rsidR="00550674" w:rsidRPr="00550674" w14:paraId="2CA93437" w14:textId="77777777">
        <w:tc>
          <w:tcPr>
            <w:tcW w:w="555" w:type="dxa"/>
            <w:shd w:val="clear" w:color="auto" w:fill="auto"/>
            <w:tcMar>
              <w:top w:w="100" w:type="dxa"/>
              <w:left w:w="100" w:type="dxa"/>
              <w:bottom w:w="100" w:type="dxa"/>
              <w:right w:w="100" w:type="dxa"/>
            </w:tcMar>
            <w:vAlign w:val="center"/>
          </w:tcPr>
          <w:p w14:paraId="34BD9EA7" w14:textId="77777777" w:rsidR="000648C0" w:rsidRPr="00550674" w:rsidRDefault="00266269" w:rsidP="00DE4EF1">
            <w:pPr>
              <w:tabs>
                <w:tab w:val="center" w:pos="0"/>
              </w:tabs>
              <w:spacing w:after="120"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01</w:t>
            </w:r>
          </w:p>
        </w:tc>
        <w:tc>
          <w:tcPr>
            <w:tcW w:w="4095" w:type="dxa"/>
            <w:shd w:val="clear" w:color="auto" w:fill="auto"/>
            <w:tcMar>
              <w:top w:w="100" w:type="dxa"/>
              <w:left w:w="100" w:type="dxa"/>
              <w:bottom w:w="100" w:type="dxa"/>
              <w:right w:w="100" w:type="dxa"/>
            </w:tcMar>
            <w:vAlign w:val="center"/>
          </w:tcPr>
          <w:p w14:paraId="697C3DAA" w14:textId="444F536C" w:rsidR="000648C0" w:rsidRPr="00550674" w:rsidRDefault="00BC43C6" w:rsidP="00DE4EF1">
            <w:pPr>
              <w:tabs>
                <w:tab w:val="center" w:pos="0"/>
              </w:tabs>
              <w:spacing w:after="120" w:line="240" w:lineRule="auto"/>
              <w:contextualSpacing/>
              <w:mirrorIndents/>
              <w:jc w:val="both"/>
              <w:rPr>
                <w:rFonts w:asciiTheme="majorHAnsi" w:eastAsia="Calibri" w:hAnsiTheme="majorHAnsi" w:cstheme="majorHAnsi"/>
                <w:b/>
                <w:shd w:val="clear" w:color="auto" w:fill="F4CCCC"/>
              </w:rPr>
            </w:pPr>
            <w:r w:rsidRPr="00550674">
              <w:rPr>
                <w:rFonts w:asciiTheme="majorHAnsi" w:eastAsia="Calibri" w:hAnsiTheme="majorHAnsi" w:cstheme="majorHAnsi"/>
                <w:b/>
                <w:shd w:val="clear" w:color="auto" w:fill="F4CCCC"/>
              </w:rPr>
              <w:t>Ponte de Cultura</w:t>
            </w:r>
          </w:p>
        </w:tc>
        <w:tc>
          <w:tcPr>
            <w:tcW w:w="4245" w:type="dxa"/>
            <w:shd w:val="clear" w:color="auto" w:fill="auto"/>
            <w:tcMar>
              <w:top w:w="100" w:type="dxa"/>
              <w:left w:w="100" w:type="dxa"/>
              <w:bottom w:w="100" w:type="dxa"/>
              <w:right w:w="100" w:type="dxa"/>
            </w:tcMar>
            <w:vAlign w:val="center"/>
          </w:tcPr>
          <w:p w14:paraId="5E568A28" w14:textId="62368972" w:rsidR="000648C0" w:rsidRPr="00550674" w:rsidRDefault="00BC43C6" w:rsidP="00DE4EF1">
            <w:pPr>
              <w:widowControl w:val="0"/>
              <w:spacing w:line="240" w:lineRule="auto"/>
              <w:contextualSpacing/>
              <w:mirrorIndents/>
              <w:rPr>
                <w:rFonts w:asciiTheme="majorHAnsi" w:eastAsia="Calibri" w:hAnsiTheme="majorHAnsi" w:cstheme="majorHAnsi"/>
                <w:shd w:val="clear" w:color="auto" w:fill="F4CCCC"/>
              </w:rPr>
            </w:pPr>
            <w:r w:rsidRPr="00550674">
              <w:rPr>
                <w:rFonts w:asciiTheme="majorHAnsi" w:eastAsia="Calibri" w:hAnsiTheme="majorHAnsi" w:cstheme="majorHAnsi"/>
                <w:shd w:val="clear" w:color="auto" w:fill="F4CCCC"/>
              </w:rPr>
              <w:t>05</w:t>
            </w:r>
          </w:p>
        </w:tc>
        <w:tc>
          <w:tcPr>
            <w:tcW w:w="5070" w:type="dxa"/>
            <w:shd w:val="clear" w:color="auto" w:fill="auto"/>
            <w:tcMar>
              <w:top w:w="100" w:type="dxa"/>
              <w:left w:w="100" w:type="dxa"/>
              <w:bottom w:w="100" w:type="dxa"/>
              <w:right w:w="100" w:type="dxa"/>
            </w:tcMar>
            <w:vAlign w:val="center"/>
          </w:tcPr>
          <w:p w14:paraId="38FF13D9" w14:textId="6D6EFAF4" w:rsidR="000648C0" w:rsidRPr="00550674" w:rsidRDefault="00BC43C6" w:rsidP="00DE4EF1">
            <w:pPr>
              <w:widowControl w:val="0"/>
              <w:spacing w:line="240" w:lineRule="auto"/>
              <w:contextualSpacing/>
              <w:mirrorIndents/>
              <w:rPr>
                <w:rFonts w:asciiTheme="majorHAnsi" w:eastAsia="Calibri" w:hAnsiTheme="majorHAnsi" w:cstheme="majorHAnsi"/>
                <w:b/>
                <w:highlight w:val="yellow"/>
              </w:rPr>
            </w:pPr>
            <w:r w:rsidRPr="00550674">
              <w:rPr>
                <w:rFonts w:asciiTheme="majorHAnsi" w:eastAsia="Calibri" w:hAnsiTheme="majorHAnsi" w:cstheme="majorHAnsi"/>
                <w:b/>
                <w:highlight w:val="yellow"/>
              </w:rPr>
              <w:t>R$30.000,00</w:t>
            </w:r>
          </w:p>
        </w:tc>
      </w:tr>
    </w:tbl>
    <w:p w14:paraId="6C46AF74" w14:textId="77777777" w:rsidR="00BC43C6" w:rsidRPr="00550674" w:rsidRDefault="00BC43C6" w:rsidP="00DE4EF1">
      <w:pPr>
        <w:tabs>
          <w:tab w:val="center" w:pos="0"/>
        </w:tabs>
        <w:spacing w:after="120" w:line="240" w:lineRule="auto"/>
        <w:contextualSpacing/>
        <w:mirrorIndents/>
        <w:jc w:val="both"/>
        <w:rPr>
          <w:rFonts w:asciiTheme="majorHAnsi" w:eastAsia="Calibri" w:hAnsiTheme="majorHAnsi" w:cstheme="majorHAnsi"/>
          <w:b/>
          <w:u w:val="single"/>
        </w:rPr>
      </w:pPr>
    </w:p>
    <w:p w14:paraId="476A3F5C" w14:textId="77777777" w:rsidR="000648C0" w:rsidRPr="00550674" w:rsidRDefault="00266269" w:rsidP="00DE4EF1">
      <w:pPr>
        <w:tabs>
          <w:tab w:val="center" w:pos="0"/>
        </w:tabs>
        <w:spacing w:after="120" w:line="240" w:lineRule="auto"/>
        <w:contextualSpacing/>
        <w:mirrorIndents/>
        <w:jc w:val="both"/>
        <w:rPr>
          <w:rFonts w:asciiTheme="majorHAnsi" w:eastAsia="Calibri" w:hAnsiTheme="majorHAnsi" w:cstheme="majorHAnsi"/>
          <w:b/>
        </w:rPr>
      </w:pPr>
      <w:r w:rsidRPr="00550674">
        <w:rPr>
          <w:rFonts w:asciiTheme="majorHAnsi" w:eastAsia="Calibri" w:hAnsiTheme="majorHAnsi" w:cstheme="majorHAnsi"/>
          <w:b/>
        </w:rPr>
        <w:t>2. COTAS</w:t>
      </w:r>
    </w:p>
    <w:tbl>
      <w:tblPr>
        <w:tblStyle w:val="Tabelacomgrade"/>
        <w:tblW w:w="0" w:type="auto"/>
        <w:tblLook w:val="04A0" w:firstRow="1" w:lastRow="0" w:firstColumn="1" w:lastColumn="0" w:noHBand="0" w:noVBand="1"/>
      </w:tblPr>
      <w:tblGrid>
        <w:gridCol w:w="6972"/>
        <w:gridCol w:w="6972"/>
      </w:tblGrid>
      <w:tr w:rsidR="00550674" w:rsidRPr="00550674" w14:paraId="79911378" w14:textId="77777777" w:rsidTr="00BF2DBC">
        <w:tc>
          <w:tcPr>
            <w:tcW w:w="13944" w:type="dxa"/>
            <w:gridSpan w:val="2"/>
            <w:shd w:val="clear" w:color="auto" w:fill="D9D9D9" w:themeFill="background1" w:themeFillShade="D9"/>
          </w:tcPr>
          <w:p w14:paraId="17963C39" w14:textId="4A6B7EA0" w:rsidR="00DE4EF1" w:rsidRPr="00550674" w:rsidRDefault="00DE4EF1" w:rsidP="00DE4EF1">
            <w:pPr>
              <w:tabs>
                <w:tab w:val="center" w:pos="0"/>
              </w:tabs>
              <w:contextualSpacing/>
              <w:mirrorIndents/>
              <w:jc w:val="center"/>
              <w:rPr>
                <w:rFonts w:asciiTheme="majorHAnsi" w:eastAsia="Calibri" w:hAnsiTheme="majorHAnsi" w:cstheme="majorHAnsi"/>
                <w:b/>
                <w:bCs/>
              </w:rPr>
            </w:pPr>
            <w:r w:rsidRPr="00550674">
              <w:rPr>
                <w:rFonts w:asciiTheme="majorHAnsi" w:eastAsia="Calibri" w:hAnsiTheme="majorHAnsi" w:cstheme="majorHAnsi"/>
                <w:b/>
                <w:bCs/>
              </w:rPr>
              <w:t>NÚMERO DE VAGAS MÍNIMAS</w:t>
            </w:r>
          </w:p>
        </w:tc>
      </w:tr>
      <w:tr w:rsidR="00550674" w:rsidRPr="00550674" w14:paraId="37B0BF67" w14:textId="77777777" w:rsidTr="00D352DC">
        <w:tc>
          <w:tcPr>
            <w:tcW w:w="6972" w:type="dxa"/>
            <w:vAlign w:val="center"/>
          </w:tcPr>
          <w:p w14:paraId="4DA4EEB6" w14:textId="488210A9" w:rsidR="00DE4EF1" w:rsidRPr="00550674" w:rsidRDefault="00DE4EF1" w:rsidP="00DE4EF1">
            <w:pPr>
              <w:tabs>
                <w:tab w:val="center" w:pos="0"/>
              </w:tabs>
              <w:contextualSpacing/>
              <w:mirrorIndents/>
              <w:jc w:val="both"/>
              <w:rPr>
                <w:rFonts w:asciiTheme="majorHAnsi" w:eastAsia="Calibri" w:hAnsiTheme="majorHAnsi" w:cstheme="majorHAnsi"/>
              </w:rPr>
            </w:pPr>
            <w:r w:rsidRPr="00550674">
              <w:rPr>
                <w:rFonts w:asciiTheme="majorHAnsi" w:eastAsia="Calibri" w:hAnsiTheme="majorHAnsi" w:cstheme="majorHAnsi"/>
                <w:b/>
              </w:rPr>
              <w:t>pessoas negras (pretas ou pardas)</w:t>
            </w:r>
          </w:p>
        </w:tc>
        <w:tc>
          <w:tcPr>
            <w:tcW w:w="6972" w:type="dxa"/>
            <w:vAlign w:val="center"/>
          </w:tcPr>
          <w:p w14:paraId="4B66895E" w14:textId="47968F08" w:rsidR="00DE4EF1" w:rsidRPr="00550674" w:rsidRDefault="00DE4EF1" w:rsidP="00DE4EF1">
            <w:pPr>
              <w:tabs>
                <w:tab w:val="center" w:pos="0"/>
              </w:tabs>
              <w:contextualSpacing/>
              <w:mirrorIndents/>
              <w:jc w:val="both"/>
              <w:rPr>
                <w:rFonts w:asciiTheme="majorHAnsi" w:eastAsia="Calibri" w:hAnsiTheme="majorHAnsi" w:cstheme="majorHAnsi"/>
              </w:rPr>
            </w:pPr>
            <w:r w:rsidRPr="00550674">
              <w:rPr>
                <w:rFonts w:asciiTheme="majorHAnsi" w:eastAsia="Calibri" w:hAnsiTheme="majorHAnsi" w:cstheme="majorHAnsi"/>
              </w:rPr>
              <w:t>mínimo de 25% (vinte e cinco por cento) das vagas - cota obrigatória</w:t>
            </w:r>
          </w:p>
        </w:tc>
      </w:tr>
      <w:tr w:rsidR="00550674" w:rsidRPr="00550674" w14:paraId="4CFCF8BA" w14:textId="77777777" w:rsidTr="00D352DC">
        <w:tc>
          <w:tcPr>
            <w:tcW w:w="6972" w:type="dxa"/>
            <w:vAlign w:val="center"/>
          </w:tcPr>
          <w:p w14:paraId="12ABAD9C" w14:textId="40C60421" w:rsidR="00DE4EF1" w:rsidRPr="00550674" w:rsidRDefault="00DE4EF1" w:rsidP="00DE4EF1">
            <w:pPr>
              <w:tabs>
                <w:tab w:val="center" w:pos="0"/>
              </w:tabs>
              <w:contextualSpacing/>
              <w:mirrorIndents/>
              <w:jc w:val="both"/>
              <w:rPr>
                <w:rFonts w:asciiTheme="majorHAnsi" w:eastAsia="Calibri" w:hAnsiTheme="majorHAnsi" w:cstheme="majorHAnsi"/>
              </w:rPr>
            </w:pPr>
            <w:r w:rsidRPr="00550674">
              <w:rPr>
                <w:rFonts w:asciiTheme="majorHAnsi" w:eastAsia="Calibri" w:hAnsiTheme="majorHAnsi" w:cstheme="majorHAnsi"/>
                <w:b/>
              </w:rPr>
              <w:t>pessoas indígenas</w:t>
            </w:r>
          </w:p>
        </w:tc>
        <w:tc>
          <w:tcPr>
            <w:tcW w:w="6972" w:type="dxa"/>
            <w:vAlign w:val="center"/>
          </w:tcPr>
          <w:p w14:paraId="5F2FEF52" w14:textId="76796CE7" w:rsidR="00DE4EF1" w:rsidRPr="00550674" w:rsidRDefault="00DE4EF1" w:rsidP="00DE4EF1">
            <w:pPr>
              <w:tabs>
                <w:tab w:val="center" w:pos="0"/>
              </w:tabs>
              <w:contextualSpacing/>
              <w:mirrorIndents/>
              <w:jc w:val="both"/>
              <w:rPr>
                <w:rFonts w:asciiTheme="majorHAnsi" w:eastAsia="Calibri" w:hAnsiTheme="majorHAnsi" w:cstheme="majorHAnsi"/>
              </w:rPr>
            </w:pPr>
            <w:r w:rsidRPr="00550674">
              <w:rPr>
                <w:rFonts w:asciiTheme="majorHAnsi" w:eastAsia="Calibri" w:hAnsiTheme="majorHAnsi" w:cstheme="majorHAnsi"/>
              </w:rPr>
              <w:t>mínimo de 10% (dez por cento) das vagas - cota obrigatória</w:t>
            </w:r>
          </w:p>
        </w:tc>
      </w:tr>
      <w:tr w:rsidR="00550674" w:rsidRPr="00550674" w14:paraId="26D79A6D" w14:textId="77777777" w:rsidTr="00D352DC">
        <w:tc>
          <w:tcPr>
            <w:tcW w:w="6972" w:type="dxa"/>
            <w:vAlign w:val="center"/>
          </w:tcPr>
          <w:p w14:paraId="1FDECC8B" w14:textId="07992C93" w:rsidR="00DE4EF1" w:rsidRPr="00550674" w:rsidRDefault="00DE4EF1" w:rsidP="00DE4EF1">
            <w:pPr>
              <w:tabs>
                <w:tab w:val="center" w:pos="0"/>
              </w:tabs>
              <w:contextualSpacing/>
              <w:mirrorIndents/>
              <w:jc w:val="both"/>
              <w:rPr>
                <w:rFonts w:asciiTheme="majorHAnsi" w:eastAsia="Calibri" w:hAnsiTheme="majorHAnsi" w:cstheme="majorHAnsi"/>
              </w:rPr>
            </w:pPr>
            <w:r w:rsidRPr="00550674">
              <w:rPr>
                <w:rFonts w:asciiTheme="majorHAnsi" w:eastAsia="Calibri" w:hAnsiTheme="majorHAnsi" w:cstheme="majorHAnsi"/>
                <w:b/>
              </w:rPr>
              <w:t>pessoas com deficiência</w:t>
            </w:r>
          </w:p>
        </w:tc>
        <w:tc>
          <w:tcPr>
            <w:tcW w:w="6972" w:type="dxa"/>
            <w:vAlign w:val="center"/>
          </w:tcPr>
          <w:p w14:paraId="4159A339" w14:textId="0ED3E720" w:rsidR="00DE4EF1" w:rsidRPr="00550674" w:rsidRDefault="00DE4EF1" w:rsidP="00DE4EF1">
            <w:pPr>
              <w:tabs>
                <w:tab w:val="center" w:pos="0"/>
              </w:tabs>
              <w:contextualSpacing/>
              <w:mirrorIndents/>
              <w:jc w:val="both"/>
              <w:rPr>
                <w:rFonts w:asciiTheme="majorHAnsi" w:eastAsia="Calibri" w:hAnsiTheme="majorHAnsi" w:cstheme="majorHAnsi"/>
              </w:rPr>
            </w:pPr>
            <w:r w:rsidRPr="00550674">
              <w:rPr>
                <w:rFonts w:asciiTheme="majorHAnsi" w:eastAsia="Calibri" w:hAnsiTheme="majorHAnsi" w:cstheme="majorHAnsi"/>
              </w:rPr>
              <w:t>mínimo de 5% (cinco por cento) das vagas - cota obrigatória</w:t>
            </w:r>
          </w:p>
        </w:tc>
      </w:tr>
    </w:tbl>
    <w:p w14:paraId="163B3B32" w14:textId="77777777" w:rsidR="00DE4EF1" w:rsidRPr="00550674" w:rsidRDefault="00DE4EF1" w:rsidP="00DE4EF1">
      <w:pPr>
        <w:tabs>
          <w:tab w:val="center" w:pos="0"/>
        </w:tabs>
        <w:spacing w:line="240" w:lineRule="auto"/>
        <w:contextualSpacing/>
        <w:mirrorIndents/>
        <w:jc w:val="both"/>
        <w:rPr>
          <w:rFonts w:asciiTheme="majorHAnsi" w:eastAsia="Calibri" w:hAnsiTheme="majorHAnsi" w:cstheme="majorHAnsi"/>
        </w:rPr>
      </w:pPr>
    </w:p>
    <w:p w14:paraId="153B7A1B" w14:textId="0D83D97D" w:rsidR="000648C0" w:rsidRPr="00550674" w:rsidRDefault="00266269" w:rsidP="00DE4EF1">
      <w:pPr>
        <w:tabs>
          <w:tab w:val="center" w:pos="0"/>
        </w:tabs>
        <w:spacing w:line="240" w:lineRule="auto"/>
        <w:contextualSpacing/>
        <w:mirrorIndents/>
        <w:jc w:val="both"/>
        <w:rPr>
          <w:rFonts w:asciiTheme="majorHAnsi" w:eastAsia="Calibri" w:hAnsiTheme="majorHAnsi" w:cstheme="majorHAnsi"/>
          <w:i/>
          <w:iCs/>
        </w:rPr>
      </w:pPr>
      <w:r w:rsidRPr="00550674">
        <w:rPr>
          <w:rFonts w:asciiTheme="majorHAnsi" w:eastAsia="Calibri" w:hAnsiTheme="majorHAnsi" w:cstheme="majorHAnsi"/>
          <w:i/>
          <w:iCs/>
        </w:rPr>
        <w:t>*As cotas mínimas para pessoas negras (pretas ou pardas), pessoas indígenas e pessoas com deficiência seguem o previsto no Capítulo II da Instrução Normativa MinC nº 10, de 28 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Cultura.</w:t>
      </w:r>
    </w:p>
    <w:p w14:paraId="1168047C" w14:textId="77777777" w:rsidR="00DE4EF1" w:rsidRPr="00550674" w:rsidRDefault="00DE4EF1" w:rsidP="00DE4EF1">
      <w:pPr>
        <w:tabs>
          <w:tab w:val="center" w:pos="0"/>
        </w:tabs>
        <w:spacing w:line="240" w:lineRule="auto"/>
        <w:contextualSpacing/>
        <w:mirrorIndents/>
        <w:jc w:val="center"/>
        <w:rPr>
          <w:rFonts w:asciiTheme="majorHAnsi" w:eastAsia="Calibri" w:hAnsiTheme="majorHAnsi" w:cstheme="majorHAnsi"/>
          <w:b/>
        </w:rPr>
      </w:pPr>
    </w:p>
    <w:p w14:paraId="0F708874" w14:textId="77777777" w:rsidR="00DE4EF1" w:rsidRPr="00550674" w:rsidRDefault="00DE4EF1" w:rsidP="00DE4EF1">
      <w:pPr>
        <w:tabs>
          <w:tab w:val="center" w:pos="0"/>
        </w:tabs>
        <w:spacing w:line="240" w:lineRule="auto"/>
        <w:contextualSpacing/>
        <w:mirrorIndents/>
        <w:jc w:val="center"/>
        <w:rPr>
          <w:rFonts w:asciiTheme="majorHAnsi" w:eastAsia="Calibri" w:hAnsiTheme="majorHAnsi" w:cstheme="majorHAnsi"/>
          <w:b/>
        </w:rPr>
      </w:pPr>
    </w:p>
    <w:p w14:paraId="2F7D92BF" w14:textId="77777777" w:rsidR="00DE4EF1" w:rsidRPr="00550674" w:rsidRDefault="00DE4EF1" w:rsidP="00DE4EF1">
      <w:pPr>
        <w:tabs>
          <w:tab w:val="center" w:pos="0"/>
        </w:tabs>
        <w:spacing w:line="240" w:lineRule="auto"/>
        <w:contextualSpacing/>
        <w:mirrorIndents/>
        <w:jc w:val="center"/>
        <w:rPr>
          <w:rFonts w:asciiTheme="majorHAnsi" w:eastAsia="Calibri" w:hAnsiTheme="majorHAnsi" w:cstheme="majorHAnsi"/>
          <w:b/>
        </w:rPr>
      </w:pPr>
    </w:p>
    <w:p w14:paraId="0B651FFE" w14:textId="5A98B5A6" w:rsidR="000648C0" w:rsidRPr="00550674" w:rsidRDefault="00266269" w:rsidP="00DE4EF1">
      <w:pPr>
        <w:tabs>
          <w:tab w:val="center" w:pos="0"/>
        </w:tabs>
        <w:spacing w:line="240" w:lineRule="auto"/>
        <w:contextualSpacing/>
        <w:mirrorIndents/>
        <w:jc w:val="center"/>
        <w:rPr>
          <w:rFonts w:asciiTheme="majorHAnsi" w:eastAsia="Calibri" w:hAnsiTheme="majorHAnsi" w:cstheme="majorHAnsi"/>
          <w:b/>
        </w:rPr>
      </w:pPr>
      <w:r w:rsidRPr="00550674">
        <w:rPr>
          <w:rFonts w:asciiTheme="majorHAnsi" w:eastAsia="Calibri" w:hAnsiTheme="majorHAnsi" w:cstheme="majorHAnsi"/>
          <w:b/>
        </w:rPr>
        <w:t>ORIENTAÇÕES PARA DEFINIR CATEGORIAS E COTAS</w:t>
      </w:r>
    </w:p>
    <w:p w14:paraId="4188FE48" w14:textId="77777777" w:rsidR="000648C0" w:rsidRPr="00550674" w:rsidRDefault="000648C0" w:rsidP="00DE4EF1">
      <w:pPr>
        <w:tabs>
          <w:tab w:val="center" w:pos="0"/>
        </w:tabs>
        <w:spacing w:after="120" w:line="240" w:lineRule="auto"/>
        <w:contextualSpacing/>
        <w:mirrorIndents/>
        <w:jc w:val="both"/>
        <w:rPr>
          <w:rFonts w:asciiTheme="majorHAnsi" w:eastAsia="Calibri" w:hAnsiTheme="majorHAnsi" w:cstheme="majorHAnsi"/>
          <w:b/>
          <w:u w:val="single"/>
        </w:rPr>
      </w:pPr>
    </w:p>
    <w:p w14:paraId="3F8FF409" w14:textId="77777777" w:rsidR="000648C0" w:rsidRPr="00550674" w:rsidRDefault="00266269" w:rsidP="00DE4EF1">
      <w:pPr>
        <w:numPr>
          <w:ilvl w:val="0"/>
          <w:numId w:val="1"/>
        </w:numPr>
        <w:tabs>
          <w:tab w:val="center" w:pos="0"/>
        </w:tabs>
        <w:spacing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O ente federado poderá definir categorias e valores específicos (sendo o máximo de R$30.000 [trinta mil reais] para coletivos informais e R$60.000 [sessenta mil reais] para entidades culturais - segundo a IN nº 12/2024, que regulamenta a PNCV), no quantitativo que julgar pertinente (inclusive, não definir categorias), desde que mantidos os princípios, diretrizes e objetivos da PNCV e da PNAB. A adoção de quaisquer categorias deverá ser justificada nos relatórios de monitoramento da implementação da PNAB;</w:t>
      </w:r>
    </w:p>
    <w:p w14:paraId="1091DBFB" w14:textId="77777777" w:rsidR="000648C0" w:rsidRPr="00550674" w:rsidRDefault="000648C0" w:rsidP="00DE4EF1">
      <w:pPr>
        <w:tabs>
          <w:tab w:val="center" w:pos="0"/>
        </w:tabs>
        <w:spacing w:line="240" w:lineRule="auto"/>
        <w:contextualSpacing/>
        <w:mirrorIndents/>
        <w:jc w:val="both"/>
        <w:rPr>
          <w:rFonts w:asciiTheme="majorHAnsi" w:eastAsia="Calibri" w:hAnsiTheme="majorHAnsi" w:cstheme="majorHAnsi"/>
        </w:rPr>
      </w:pPr>
    </w:p>
    <w:p w14:paraId="46B0F670" w14:textId="106C8A15" w:rsidR="000648C0" w:rsidRPr="00550674" w:rsidRDefault="00266269" w:rsidP="00DE4EF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Deverão ser selecionados, no mínimo, 30% (trinta por cento) [é possível aumentar este percentual, mas não diminuir] de candidaturas apresentadas por entidades e coletivos com trajetória declarada e comprovadamente ligadas às culturas tradicionais e</w:t>
      </w:r>
      <w:r w:rsidR="00550674" w:rsidRPr="00550674">
        <w:rPr>
          <w:rFonts w:asciiTheme="majorHAnsi" w:eastAsia="Calibri" w:hAnsiTheme="majorHAnsi" w:cstheme="majorHAnsi"/>
        </w:rPr>
        <w:t xml:space="preserve"> </w:t>
      </w:r>
      <w:r w:rsidRPr="00550674">
        <w:rPr>
          <w:rFonts w:asciiTheme="majorHAnsi" w:eastAsia="Calibri" w:hAnsiTheme="majorHAnsi" w:cstheme="majorHAnsi"/>
        </w:rPr>
        <w:t>populares. Este percentual pode ser composto junto às vagas destinadas às cotas. [o ente federado poderá criar, neste Anexo 1, uma categoria específica para culturas tradicionais e populares, ou incluir este percentual em outras categorias que defina, a seu critério];</w:t>
      </w:r>
    </w:p>
    <w:p w14:paraId="0DEB00C1" w14:textId="77777777" w:rsidR="000648C0" w:rsidRPr="00550674" w:rsidRDefault="00266269" w:rsidP="00DE4EF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No mínimo, 30% (trinta por cento) das vagas deverão ser destinadas à ampla concorrência, sem incidência de categorias. A exceção é para o caso de definição de cotas territoriais/regionais, que abranjam toda a área de abrangência do estado/DF/municípios e permitam a livre concorrência;</w:t>
      </w:r>
    </w:p>
    <w:p w14:paraId="0B88AC55" w14:textId="77777777" w:rsidR="000648C0" w:rsidRPr="00550674" w:rsidRDefault="00266269" w:rsidP="00DE4EF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Visando a desconcentração territorial e a regionalização, os entes federados devem estar atentos ao previsto no Capítulo VI da Instrução Normativa MinC nº 10, de 28 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Cultura, destaca-se:</w:t>
      </w:r>
    </w:p>
    <w:p w14:paraId="1547DF8B" w14:textId="77777777" w:rsidR="000648C0" w:rsidRPr="00550674" w:rsidRDefault="000648C0" w:rsidP="00DE4EF1">
      <w:pPr>
        <w:tabs>
          <w:tab w:val="center" w:pos="0"/>
        </w:tabs>
        <w:spacing w:line="240" w:lineRule="auto"/>
        <w:contextualSpacing/>
        <w:mirrorIndents/>
        <w:jc w:val="both"/>
        <w:rPr>
          <w:rFonts w:asciiTheme="majorHAnsi" w:eastAsia="Calibri" w:hAnsiTheme="majorHAnsi" w:cstheme="majorHAnsi"/>
        </w:rPr>
      </w:pPr>
    </w:p>
    <w:p w14:paraId="0157A6D9"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CAPÍTULO VI - DAS MEDIDAS DE DESCONCENTRAÇÃO TERRITORIAL E REGIONALIZAÇÃO</w:t>
      </w:r>
    </w:p>
    <w:p w14:paraId="1AA89406"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Art. 15. Os entes deverão instituir mecanismos de desconcentração territorial e regionalização dos recursos, inclusive com vistas à implementação do percentual de 20% (vinte por cento) de que trata o art. 6º, II, da PNAB, em ações de incentivo direto a programas, a projetos e a ações de democratização do acesso à fruição e à produção artística e cultural em áreas periféricas, urbanas e rurais, e em territórios e regiões de maior vulnerabilidade econômica ou social, bem como em áreas de povos e comunidades tradicionais, quais sejam:</w:t>
      </w:r>
    </w:p>
    <w:p w14:paraId="50435EB4"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I - </w:t>
      </w:r>
      <w:proofErr w:type="gramStart"/>
      <w:r w:rsidRPr="00550674">
        <w:rPr>
          <w:rFonts w:asciiTheme="majorHAnsi" w:eastAsia="Calibri" w:hAnsiTheme="majorHAnsi" w:cstheme="majorHAnsi"/>
          <w:i/>
        </w:rPr>
        <w:t>regiões</w:t>
      </w:r>
      <w:proofErr w:type="gramEnd"/>
      <w:r w:rsidRPr="00550674">
        <w:rPr>
          <w:rFonts w:asciiTheme="majorHAnsi" w:eastAsia="Calibri" w:hAnsiTheme="majorHAnsi" w:cstheme="majorHAnsi"/>
          <w:i/>
        </w:rPr>
        <w:t xml:space="preserve"> periféricas;</w:t>
      </w:r>
    </w:p>
    <w:p w14:paraId="43951165"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II - </w:t>
      </w:r>
      <w:proofErr w:type="gramStart"/>
      <w:r w:rsidRPr="00550674">
        <w:rPr>
          <w:rFonts w:asciiTheme="majorHAnsi" w:eastAsia="Calibri" w:hAnsiTheme="majorHAnsi" w:cstheme="majorHAnsi"/>
          <w:i/>
        </w:rPr>
        <w:t>regiões</w:t>
      </w:r>
      <w:proofErr w:type="gramEnd"/>
      <w:r w:rsidRPr="00550674">
        <w:rPr>
          <w:rFonts w:asciiTheme="majorHAnsi" w:eastAsia="Calibri" w:hAnsiTheme="majorHAnsi" w:cstheme="majorHAnsi"/>
          <w:i/>
        </w:rPr>
        <w:t xml:space="preserve"> com menor Índice de Desenvolvimento Humano - IDH;</w:t>
      </w:r>
    </w:p>
    <w:p w14:paraId="48C9245C"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III - regiões onde são localizados conjuntos e </w:t>
      </w:r>
      <w:proofErr w:type="spellStart"/>
      <w:r w:rsidRPr="00550674">
        <w:rPr>
          <w:rFonts w:asciiTheme="majorHAnsi" w:eastAsia="Calibri" w:hAnsiTheme="majorHAnsi" w:cstheme="majorHAnsi"/>
          <w:i/>
        </w:rPr>
        <w:t>empreendimentos</w:t>
      </w:r>
      <w:proofErr w:type="spellEnd"/>
      <w:r w:rsidRPr="00550674">
        <w:rPr>
          <w:rFonts w:asciiTheme="majorHAnsi" w:eastAsia="Calibri" w:hAnsiTheme="majorHAnsi" w:cstheme="majorHAnsi"/>
          <w:i/>
        </w:rPr>
        <w:t xml:space="preserve"> habitacionais, e programas habitacionais de interesse social, promovidos por programas do governo federal ou local;</w:t>
      </w:r>
    </w:p>
    <w:p w14:paraId="6784C100" w14:textId="2EFA10C3"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IV - </w:t>
      </w:r>
      <w:proofErr w:type="gramStart"/>
      <w:r w:rsidRPr="00550674">
        <w:rPr>
          <w:rFonts w:asciiTheme="majorHAnsi" w:eastAsia="Calibri" w:hAnsiTheme="majorHAnsi" w:cstheme="majorHAnsi"/>
          <w:i/>
        </w:rPr>
        <w:t>assentamentos e acampamentos</w:t>
      </w:r>
      <w:proofErr w:type="gramEnd"/>
      <w:r w:rsidRPr="00550674">
        <w:rPr>
          <w:rFonts w:asciiTheme="majorHAnsi" w:eastAsia="Calibri" w:hAnsiTheme="majorHAnsi" w:cstheme="majorHAnsi"/>
          <w:i/>
        </w:rPr>
        <w:t>;</w:t>
      </w:r>
    </w:p>
    <w:p w14:paraId="4A61C71B" w14:textId="24202E7A"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i/>
        </w:rPr>
      </w:pPr>
    </w:p>
    <w:p w14:paraId="01A3C5BB"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i/>
        </w:rPr>
      </w:pPr>
    </w:p>
    <w:p w14:paraId="6AED0632"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V - </w:t>
      </w:r>
      <w:proofErr w:type="gramStart"/>
      <w:r w:rsidRPr="00550674">
        <w:rPr>
          <w:rFonts w:asciiTheme="majorHAnsi" w:eastAsia="Calibri" w:hAnsiTheme="majorHAnsi" w:cstheme="majorHAnsi"/>
          <w:i/>
        </w:rPr>
        <w:t>regiões</w:t>
      </w:r>
      <w:proofErr w:type="gramEnd"/>
      <w:r w:rsidRPr="00550674">
        <w:rPr>
          <w:rFonts w:asciiTheme="majorHAnsi" w:eastAsia="Calibri" w:hAnsiTheme="majorHAnsi" w:cstheme="majorHAnsi"/>
          <w:i/>
        </w:rPr>
        <w:t xml:space="preserve"> com menor presença de espaços e equipamentos culturais públicos;</w:t>
      </w:r>
    </w:p>
    <w:p w14:paraId="2213AD45"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VI - </w:t>
      </w:r>
      <w:proofErr w:type="gramStart"/>
      <w:r w:rsidRPr="00550674">
        <w:rPr>
          <w:rFonts w:asciiTheme="majorHAnsi" w:eastAsia="Calibri" w:hAnsiTheme="majorHAnsi" w:cstheme="majorHAnsi"/>
          <w:i/>
        </w:rPr>
        <w:t>regiões</w:t>
      </w:r>
      <w:proofErr w:type="gramEnd"/>
      <w:r w:rsidRPr="00550674">
        <w:rPr>
          <w:rFonts w:asciiTheme="majorHAnsi" w:eastAsia="Calibri" w:hAnsiTheme="majorHAnsi" w:cstheme="majorHAnsi"/>
          <w:i/>
        </w:rPr>
        <w:t xml:space="preserve"> com menor histórico de acesso aos recursos da política pública de cultura;</w:t>
      </w:r>
    </w:p>
    <w:p w14:paraId="67EAE257"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VII - zonas especiais de interesse social; VIII - áreas atingidas por desastres naturais;</w:t>
      </w:r>
    </w:p>
    <w:p w14:paraId="38FA1F3D"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IX - </w:t>
      </w:r>
      <w:proofErr w:type="gramStart"/>
      <w:r w:rsidRPr="00550674">
        <w:rPr>
          <w:rFonts w:asciiTheme="majorHAnsi" w:eastAsia="Calibri" w:hAnsiTheme="majorHAnsi" w:cstheme="majorHAnsi"/>
          <w:i/>
        </w:rPr>
        <w:t>territórios</w:t>
      </w:r>
      <w:proofErr w:type="gramEnd"/>
      <w:r w:rsidRPr="00550674">
        <w:rPr>
          <w:rFonts w:asciiTheme="majorHAnsi" w:eastAsia="Calibri" w:hAnsiTheme="majorHAnsi" w:cstheme="majorHAnsi"/>
          <w:i/>
        </w:rPr>
        <w:t xml:space="preserve"> quilombolas;</w:t>
      </w:r>
    </w:p>
    <w:p w14:paraId="6E8D35C2"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xml:space="preserve">X - </w:t>
      </w:r>
      <w:proofErr w:type="gramStart"/>
      <w:r w:rsidRPr="00550674">
        <w:rPr>
          <w:rFonts w:asciiTheme="majorHAnsi" w:eastAsia="Calibri" w:hAnsiTheme="majorHAnsi" w:cstheme="majorHAnsi"/>
          <w:i/>
        </w:rPr>
        <w:t>territórios</w:t>
      </w:r>
      <w:proofErr w:type="gramEnd"/>
      <w:r w:rsidRPr="00550674">
        <w:rPr>
          <w:rFonts w:asciiTheme="majorHAnsi" w:eastAsia="Calibri" w:hAnsiTheme="majorHAnsi" w:cstheme="majorHAnsi"/>
          <w:i/>
        </w:rPr>
        <w:t xml:space="preserve"> indígenas;</w:t>
      </w:r>
    </w:p>
    <w:p w14:paraId="3A544212"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XI - territórios rurais;</w:t>
      </w:r>
    </w:p>
    <w:p w14:paraId="4D778A46"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XII - espaços comunitários de convivência, acolhimento e alimentação; e</w:t>
      </w:r>
    </w:p>
    <w:p w14:paraId="7E00822F"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XIII - demais regiões que sejam habitadas por pessoas em situação de vulnerabilidade econômica ou social.</w:t>
      </w:r>
    </w:p>
    <w:p w14:paraId="748F2E58"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i/>
        </w:rPr>
      </w:pPr>
      <w:r w:rsidRPr="00550674">
        <w:rPr>
          <w:rFonts w:asciiTheme="majorHAnsi" w:eastAsia="Calibri" w:hAnsiTheme="majorHAnsi" w:cstheme="majorHAnsi"/>
          <w:i/>
        </w:rPr>
        <w:t>§ 1º As ações afirmativas de que tratam o caput podem ser empregadas quando os projetos são realizados nos territórios e regiões ou quando são propostos por agentes culturais nelas residentes.</w:t>
      </w:r>
    </w:p>
    <w:p w14:paraId="3839C710" w14:textId="455C4481"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i/>
        </w:rPr>
        <w:t>§ 2º Para fins de aferição do percentual estabelecido no art. 6º, II, da PNAB, serão consideradas apenas as ações e projetos realizados nos territórios e regiões de que tratam este artigo.”</w:t>
      </w:r>
    </w:p>
    <w:p w14:paraId="1B967FB7" w14:textId="77777777" w:rsidR="000648C0" w:rsidRPr="00550674" w:rsidRDefault="000648C0" w:rsidP="00DE4EF1">
      <w:pPr>
        <w:tabs>
          <w:tab w:val="center" w:pos="0"/>
        </w:tabs>
        <w:spacing w:after="120" w:line="240" w:lineRule="auto"/>
        <w:contextualSpacing/>
        <w:mirrorIndents/>
        <w:jc w:val="both"/>
        <w:rPr>
          <w:rFonts w:asciiTheme="majorHAnsi" w:eastAsia="Calibri" w:hAnsiTheme="majorHAnsi" w:cstheme="majorHAnsi"/>
          <w:b/>
          <w:highlight w:val="yellow"/>
        </w:rPr>
      </w:pPr>
    </w:p>
    <w:p w14:paraId="77AE4D38" w14:textId="77777777" w:rsidR="000648C0" w:rsidRPr="00550674" w:rsidRDefault="00266269" w:rsidP="00DE4EF1">
      <w:pPr>
        <w:tabs>
          <w:tab w:val="center" w:pos="0"/>
        </w:tabs>
        <w:spacing w:after="120" w:line="240" w:lineRule="auto"/>
        <w:contextualSpacing/>
        <w:mirrorIndents/>
        <w:jc w:val="both"/>
        <w:rPr>
          <w:rFonts w:asciiTheme="majorHAnsi" w:eastAsia="Calibri" w:hAnsiTheme="majorHAnsi" w:cstheme="majorHAnsi"/>
          <w:b/>
        </w:rPr>
      </w:pPr>
      <w:r w:rsidRPr="00550674">
        <w:rPr>
          <w:rFonts w:asciiTheme="majorHAnsi" w:eastAsia="Calibri" w:hAnsiTheme="majorHAnsi" w:cstheme="majorHAnsi"/>
          <w:b/>
        </w:rPr>
        <w:t xml:space="preserve">COTAS: </w:t>
      </w:r>
    </w:p>
    <w:p w14:paraId="74D550F5" w14:textId="77777777" w:rsidR="000648C0" w:rsidRPr="00550674" w:rsidRDefault="00266269" w:rsidP="00DE4EF1">
      <w:pPr>
        <w:numPr>
          <w:ilvl w:val="0"/>
          <w:numId w:val="2"/>
        </w:numPr>
        <w:tabs>
          <w:tab w:val="center" w:pos="0"/>
        </w:tabs>
        <w:spacing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Além das cotas obrigatórias, o ente federado poderá definir cotas específicas, no quantitativo que julgar pertinente, desde que mantidos os princípios, diretrizes e objetivos da PNCV e da PNAB. A adoção de quaisquer cotas deverá ser justificada nos relatórios de monitoramento da implementação da PNAB.</w:t>
      </w:r>
    </w:p>
    <w:p w14:paraId="368FAB55" w14:textId="77777777" w:rsidR="000648C0" w:rsidRPr="00550674" w:rsidRDefault="000648C0" w:rsidP="00DE4EF1">
      <w:pPr>
        <w:tabs>
          <w:tab w:val="center" w:pos="0"/>
        </w:tabs>
        <w:spacing w:line="240" w:lineRule="auto"/>
        <w:contextualSpacing/>
        <w:mirrorIndents/>
        <w:jc w:val="both"/>
        <w:rPr>
          <w:rFonts w:asciiTheme="majorHAnsi" w:eastAsia="Calibri" w:hAnsiTheme="majorHAnsi" w:cstheme="majorHAnsi"/>
        </w:rPr>
      </w:pPr>
    </w:p>
    <w:p w14:paraId="40ACBE1C" w14:textId="77777777" w:rsidR="000648C0" w:rsidRPr="00550674" w:rsidRDefault="00266269" w:rsidP="00DE4EF1">
      <w:pPr>
        <w:numPr>
          <w:ilvl w:val="0"/>
          <w:numId w:val="2"/>
        </w:numPr>
        <w:tabs>
          <w:tab w:val="center" w:pos="0"/>
        </w:tabs>
        <w:spacing w:line="240" w:lineRule="auto"/>
        <w:contextualSpacing/>
        <w:mirrorIndents/>
        <w:jc w:val="both"/>
        <w:rPr>
          <w:rFonts w:asciiTheme="majorHAnsi" w:eastAsia="Calibri" w:hAnsiTheme="majorHAnsi" w:cstheme="majorHAnsi"/>
        </w:rPr>
      </w:pPr>
      <w:r w:rsidRPr="00550674">
        <w:rPr>
          <w:rFonts w:asciiTheme="majorHAnsi" w:eastAsia="Calibri" w:hAnsiTheme="majorHAnsi" w:cstheme="majorHAnsi"/>
        </w:rPr>
        <w:t>O ente federado deverá considerar o conjunto de regramentos previstos na Instrução Normativa Minc nº 10, de 28 de dezembro de 2023. Em especial, destaca-se:</w:t>
      </w:r>
    </w:p>
    <w:p w14:paraId="3E061708"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CAPÍTULO II - DAS POLÍTICAS DE COTAS OU RESERVA DE VAGAS</w:t>
      </w:r>
    </w:p>
    <w:p w14:paraId="0AAE661A"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Art. 5º A política de cotas tem como objeto garantir a reserva de um percentual mínimo de vagas a grupos específicos, sendo aplicáveis aos procedimentos públicos de seleção de que trata a Lei nº 14.399, de 2022.</w:t>
      </w:r>
    </w:p>
    <w:p w14:paraId="5F8F9EE7"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Art. 6º Ficam garantidas cotas em todos os editais de fomento realizados com recursos da Lei nº 14.399, de 2022, de no mínimo:</w:t>
      </w:r>
    </w:p>
    <w:p w14:paraId="23CFEB3F"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 - </w:t>
      </w:r>
      <w:proofErr w:type="gramStart"/>
      <w:r w:rsidRPr="00550674">
        <w:rPr>
          <w:rFonts w:asciiTheme="majorHAnsi" w:eastAsia="Calibri" w:hAnsiTheme="majorHAnsi" w:cstheme="majorHAnsi"/>
        </w:rPr>
        <w:t>vinte e cinco</w:t>
      </w:r>
      <w:proofErr w:type="gramEnd"/>
      <w:r w:rsidRPr="00550674">
        <w:rPr>
          <w:rFonts w:asciiTheme="majorHAnsi" w:eastAsia="Calibri" w:hAnsiTheme="majorHAnsi" w:cstheme="majorHAnsi"/>
        </w:rPr>
        <w:t xml:space="preserve"> por cento das vagas para pessoas negras (pretas ou pardas);</w:t>
      </w:r>
    </w:p>
    <w:p w14:paraId="7A8095DE"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II - </w:t>
      </w:r>
      <w:proofErr w:type="gramStart"/>
      <w:r w:rsidRPr="00550674">
        <w:rPr>
          <w:rFonts w:asciiTheme="majorHAnsi" w:eastAsia="Calibri" w:hAnsiTheme="majorHAnsi" w:cstheme="majorHAnsi"/>
        </w:rPr>
        <w:t>dez</w:t>
      </w:r>
      <w:proofErr w:type="gramEnd"/>
      <w:r w:rsidRPr="00550674">
        <w:rPr>
          <w:rFonts w:asciiTheme="majorHAnsi" w:eastAsia="Calibri" w:hAnsiTheme="majorHAnsi" w:cstheme="majorHAnsi"/>
        </w:rPr>
        <w:t xml:space="preserve"> por cento das vagas para pessoas indígenas; e</w:t>
      </w:r>
    </w:p>
    <w:p w14:paraId="32025884" w14:textId="02E54E62"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III - cinco por cento para pessoas com deficiência.</w:t>
      </w:r>
    </w:p>
    <w:p w14:paraId="31FCC8F7" w14:textId="49B67605"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77DA778A" w14:textId="1328E9DD"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23A07929"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1F0A84F7"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1º O percentual de que trata este artigo pode ser ampliado considerando legislações locais mais benéficas ao público-alvo da ação afirmativa e o quantitativo de pessoas negras, indígenas, e pessoas com deficiência na região.</w:t>
      </w:r>
    </w:p>
    <w:p w14:paraId="719BB65E"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w:t>
      </w:r>
    </w:p>
    <w:p w14:paraId="7DB02EA7"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3º Em caso de editais divididos em categorias, devem ser estabelecidas cotas em todas elas, ressalvados os casos de impossibilidade fática, no qual o percentual mínimo de reserva será aplicado ao total das vagas do edital.</w:t>
      </w:r>
    </w:p>
    <w:p w14:paraId="6AFABC45"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4º Nos casos excepcionais em que for estabelecido somente uma vaga total por categoria, o ente pode optar por destiná-la à ampla concorrência ou às cotas, garantindo que ao menos vinte e cinco por cento do total das vagas do Edital sejam destinadas a pessoas negras, dez por cento a pessoas indígenas e cinco por cento a pessoas com deficiência. (retificação publicada no DOU de 10/01/2024)</w:t>
      </w:r>
    </w:p>
    <w:p w14:paraId="301589CB"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5º Nos casos de editais específicos de que trata o art. 14, o estabelecimento de cotas para pessoas negras e indígenas pode ser dispensado, caso o edital seja integralmente direcionado a proponentes de grupos étnico-raciais público-alvo de ações afirmativas.</w:t>
      </w:r>
    </w:p>
    <w:p w14:paraId="45540BC9"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6º As cotas previstas neste artigo podem ser implementadas juntamente com:</w:t>
      </w:r>
    </w:p>
    <w:p w14:paraId="4454EC18"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 - </w:t>
      </w:r>
      <w:proofErr w:type="gramStart"/>
      <w:r w:rsidRPr="00550674">
        <w:rPr>
          <w:rFonts w:asciiTheme="majorHAnsi" w:eastAsia="Calibri" w:hAnsiTheme="majorHAnsi" w:cstheme="majorHAnsi"/>
        </w:rPr>
        <w:t>cotas</w:t>
      </w:r>
      <w:proofErr w:type="gramEnd"/>
      <w:r w:rsidRPr="00550674">
        <w:rPr>
          <w:rFonts w:asciiTheme="majorHAnsi" w:eastAsia="Calibri" w:hAnsiTheme="majorHAnsi" w:cstheme="majorHAnsi"/>
        </w:rPr>
        <w:t xml:space="preserve"> para outros grupos sociais e;</w:t>
      </w:r>
    </w:p>
    <w:p w14:paraId="08F238E7"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II - </w:t>
      </w:r>
      <w:proofErr w:type="gramStart"/>
      <w:r w:rsidRPr="00550674">
        <w:rPr>
          <w:rFonts w:asciiTheme="majorHAnsi" w:eastAsia="Calibri" w:hAnsiTheme="majorHAnsi" w:cstheme="majorHAnsi"/>
        </w:rPr>
        <w:t>outras</w:t>
      </w:r>
      <w:proofErr w:type="gramEnd"/>
      <w:r w:rsidRPr="00550674">
        <w:rPr>
          <w:rFonts w:asciiTheme="majorHAnsi" w:eastAsia="Calibri" w:hAnsiTheme="majorHAnsi" w:cstheme="majorHAnsi"/>
        </w:rPr>
        <w:t xml:space="preserve"> ações afirmativas, tais como editais específicos e critérios diferenciados de pontuação.</w:t>
      </w:r>
    </w:p>
    <w:p w14:paraId="4F7DA3C6"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Art. 7º Os agentes culturais que optarem por concorrer às cotas concorrerão concomitantemente às vagas destinadas à ampla concorrência, de acordo com a sua classificação no processo.</w:t>
      </w:r>
    </w:p>
    <w:p w14:paraId="2200C311"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1º As pessoas que optarem pelas cotas e atingirem nota suficiente para se classificar no número de vagas oferecidas para ampla concorrência não ocuparão as vagas destinadas para o preenchimento das cotas.</w:t>
      </w:r>
    </w:p>
    <w:p w14:paraId="12481861"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2º Em caso de desistência de optantes aprovados nas cotas, a vaga não preenchida deverá ser ocupada por pessoa que concorreu às cotas de acordo com a ordem de classificação.</w:t>
      </w:r>
    </w:p>
    <w:p w14:paraId="72DBF35D"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3º No caso de não existirem propostas aptas em número suficiente para o cumprimento de uma das categorias de cotas previstas na seleção, o número de vagas restantes deverá ser destinado inicialmente para a outra categoria de cotas.</w:t>
      </w:r>
    </w:p>
    <w:p w14:paraId="7B14247A"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4º Caso não haja outra categoria de cotas de que trata o §3º, as vagas não preenchidas deverão ser direcionadas para a ampla concorrência, sendo os demais candidatos selecionados de acordo com a ordem de classificação.</w:t>
      </w:r>
    </w:p>
    <w:p w14:paraId="79C9FF7A"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1C18A4B5"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00E4163C"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2C949677"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1E66566F" w14:textId="77777777" w:rsidR="00550674" w:rsidRPr="00550674" w:rsidRDefault="00550674" w:rsidP="00DE4EF1">
      <w:pPr>
        <w:tabs>
          <w:tab w:val="center" w:pos="0"/>
        </w:tabs>
        <w:spacing w:line="240" w:lineRule="auto"/>
        <w:ind w:left="1440"/>
        <w:contextualSpacing/>
        <w:mirrorIndents/>
        <w:jc w:val="both"/>
        <w:rPr>
          <w:rFonts w:asciiTheme="majorHAnsi" w:eastAsia="Calibri" w:hAnsiTheme="majorHAnsi" w:cstheme="majorHAnsi"/>
        </w:rPr>
      </w:pPr>
    </w:p>
    <w:p w14:paraId="4EC85986" w14:textId="5B5D1E75"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Art. 8º Para concorrer às cotas, os agentes culturais deverão autodeclarar-se no ato de inscrição, conforme modelos constantes nos Anexo I e II, ou outro modelo disponibilizado pelo ente federado.</w:t>
      </w:r>
    </w:p>
    <w:p w14:paraId="771F5799"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Parágrafo único. A autodeclaração poderá ser apresentada por escrito, em vídeo, áudio, em Libras, ou em outros formatos acessíveis.</w:t>
      </w:r>
    </w:p>
    <w:p w14:paraId="08707455"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Art. 9º A autodeclaração do agente cultural goza de presunção de veracidade, podendo os Entes Federativos estabelecer em editais procedimentos complementares, tais como:</w:t>
      </w:r>
    </w:p>
    <w:p w14:paraId="5D2B9C25"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 - </w:t>
      </w:r>
      <w:proofErr w:type="spellStart"/>
      <w:proofErr w:type="gramStart"/>
      <w:r w:rsidRPr="00550674">
        <w:rPr>
          <w:rFonts w:asciiTheme="majorHAnsi" w:eastAsia="Calibri" w:hAnsiTheme="majorHAnsi" w:cstheme="majorHAnsi"/>
        </w:rPr>
        <w:t>heteroidentificação</w:t>
      </w:r>
      <w:proofErr w:type="spellEnd"/>
      <w:proofErr w:type="gramEnd"/>
      <w:r w:rsidRPr="00550674">
        <w:rPr>
          <w:rFonts w:asciiTheme="majorHAnsi" w:eastAsia="Calibri" w:hAnsiTheme="majorHAnsi" w:cstheme="majorHAnsi"/>
        </w:rPr>
        <w:t>: procedimento complementar à autodeclaração de pertencimento racial, para confirmação, por terceiros, da identificação como pessoa negra (preta ou parda) de acordo com seu fenótipo, isto é, conforme suas características físicas;</w:t>
      </w:r>
    </w:p>
    <w:p w14:paraId="6D122B47"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II - </w:t>
      </w:r>
      <w:proofErr w:type="gramStart"/>
      <w:r w:rsidRPr="00550674">
        <w:rPr>
          <w:rFonts w:asciiTheme="majorHAnsi" w:eastAsia="Calibri" w:hAnsiTheme="majorHAnsi" w:cstheme="majorHAnsi"/>
        </w:rPr>
        <w:t>solicitação</w:t>
      </w:r>
      <w:proofErr w:type="gramEnd"/>
      <w:r w:rsidRPr="00550674">
        <w:rPr>
          <w:rFonts w:asciiTheme="majorHAnsi" w:eastAsia="Calibri" w:hAnsiTheme="majorHAnsi" w:cstheme="majorHAnsi"/>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6D133BF3"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15EFCE8B"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IV - </w:t>
      </w:r>
      <w:proofErr w:type="gramStart"/>
      <w:r w:rsidRPr="00550674">
        <w:rPr>
          <w:rFonts w:asciiTheme="majorHAnsi" w:eastAsia="Calibri" w:hAnsiTheme="majorHAnsi" w:cstheme="majorHAnsi"/>
        </w:rPr>
        <w:t>procedimento</w:t>
      </w:r>
      <w:proofErr w:type="gramEnd"/>
      <w:r w:rsidRPr="00550674">
        <w:rPr>
          <w:rFonts w:asciiTheme="majorHAnsi" w:eastAsia="Calibri" w:hAnsiTheme="majorHAnsi" w:cstheme="majorHAnsi"/>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2BD36850" w14:textId="77777777" w:rsidR="000648C0" w:rsidRPr="00550674" w:rsidRDefault="00266269" w:rsidP="00DE4EF1">
      <w:pPr>
        <w:tabs>
          <w:tab w:val="center" w:pos="0"/>
        </w:tabs>
        <w:spacing w:line="240" w:lineRule="auto"/>
        <w:ind w:left="1440"/>
        <w:contextualSpacing/>
        <w:mirrorIndents/>
        <w:jc w:val="both"/>
        <w:rPr>
          <w:rFonts w:asciiTheme="majorHAnsi" w:eastAsia="Calibri" w:hAnsiTheme="majorHAnsi" w:cstheme="majorHAnsi"/>
        </w:rPr>
      </w:pPr>
      <w:r w:rsidRPr="00550674">
        <w:rPr>
          <w:rFonts w:asciiTheme="majorHAnsi" w:eastAsia="Calibri" w:hAnsiTheme="majorHAnsi" w:cstheme="majorHAnsi"/>
        </w:rPr>
        <w:t xml:space="preserve">V - </w:t>
      </w:r>
      <w:proofErr w:type="gramStart"/>
      <w:r w:rsidRPr="00550674">
        <w:rPr>
          <w:rFonts w:asciiTheme="majorHAnsi" w:eastAsia="Calibri" w:hAnsiTheme="majorHAnsi" w:cstheme="majorHAnsi"/>
        </w:rPr>
        <w:t>outras</w:t>
      </w:r>
      <w:proofErr w:type="gramEnd"/>
      <w:r w:rsidRPr="00550674">
        <w:rPr>
          <w:rFonts w:asciiTheme="majorHAnsi" w:eastAsia="Calibri" w:hAnsiTheme="majorHAnsi" w:cstheme="majorHAnsi"/>
        </w:rPr>
        <w:t xml:space="preserve"> estratégias com vistas a garantir que as cotas sejam destinadas a pessoas negras, indígenas ou com deficiência.</w:t>
      </w:r>
    </w:p>
    <w:p w14:paraId="68559948" w14:textId="77777777" w:rsidR="000648C0" w:rsidRPr="00550674" w:rsidRDefault="000648C0" w:rsidP="00DE4EF1">
      <w:pPr>
        <w:tabs>
          <w:tab w:val="center" w:pos="0"/>
        </w:tabs>
        <w:spacing w:line="240" w:lineRule="auto"/>
        <w:contextualSpacing/>
        <w:mirrorIndents/>
        <w:jc w:val="both"/>
        <w:rPr>
          <w:rFonts w:asciiTheme="majorHAnsi" w:eastAsia="Calibri" w:hAnsiTheme="majorHAnsi" w:cstheme="majorHAnsi"/>
        </w:rPr>
      </w:pPr>
    </w:p>
    <w:sectPr w:rsidR="000648C0" w:rsidRPr="00550674">
      <w:headerReference w:type="default" r:id="rId8"/>
      <w:footerReference w:type="default" r:id="rId9"/>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7C80" w14:textId="77777777" w:rsidR="00E60500" w:rsidRDefault="00E60500">
      <w:pPr>
        <w:spacing w:line="240" w:lineRule="auto"/>
      </w:pPr>
      <w:r>
        <w:separator/>
      </w:r>
    </w:p>
  </w:endnote>
  <w:endnote w:type="continuationSeparator" w:id="0">
    <w:p w14:paraId="5A12363C" w14:textId="77777777" w:rsidR="00E60500" w:rsidRDefault="00E60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E9C90E-067F-4866-8A90-9A8C309F4AFA}"/>
    <w:embedBold r:id="rId2" w:fontKey="{5697AAE8-2101-4F20-A5A2-7A6CD0C5021D}"/>
    <w:embedItalic r:id="rId3" w:fontKey="{1C959C54-2D42-47C1-A9E5-7B65121C1CCF}"/>
  </w:font>
  <w:font w:name="Cambria">
    <w:panose1 w:val="02040503050406030204"/>
    <w:charset w:val="00"/>
    <w:family w:val="roman"/>
    <w:pitch w:val="variable"/>
    <w:sig w:usb0="E00006FF" w:usb1="420024FF" w:usb2="02000000" w:usb3="00000000" w:csb0="0000019F" w:csb1="00000000"/>
    <w:embedRegular r:id="rId4" w:fontKey="{A5DE843E-C342-4BEF-89D1-389C8574A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57F4" w14:textId="77777777" w:rsidR="000648C0" w:rsidRDefault="00266269">
    <w:pPr>
      <w:tabs>
        <w:tab w:val="center" w:pos="0"/>
      </w:tabs>
      <w:spacing w:line="240" w:lineRule="auto"/>
      <w:ind w:left="1440"/>
      <w:jc w:val="both"/>
      <w:rPr>
        <w:rFonts w:ascii="Calibri" w:eastAsia="Calibri" w:hAnsi="Calibri" w:cs="Calibri"/>
        <w:i/>
        <w:color w:val="FF0000"/>
        <w:sz w:val="20"/>
        <w:szCs w:val="20"/>
      </w:rPr>
    </w:pPr>
    <w:r>
      <w:rPr>
        <w:noProof/>
      </w:rPr>
      <w:drawing>
        <wp:anchor distT="0" distB="0" distL="114300" distR="114300" simplePos="0" relativeHeight="251658240" behindDoc="0" locked="0" layoutInCell="1" hidden="0" allowOverlap="1" wp14:anchorId="3C55B9E6" wp14:editId="3FC98306">
          <wp:simplePos x="0" y="0"/>
          <wp:positionH relativeFrom="column">
            <wp:posOffset>8153400</wp:posOffset>
          </wp:positionH>
          <wp:positionV relativeFrom="paragraph">
            <wp:posOffset>50475</wp:posOffset>
          </wp:positionV>
          <wp:extent cx="1153265" cy="681903"/>
          <wp:effectExtent l="0" t="0" r="0" b="0"/>
          <wp:wrapNone/>
          <wp:docPr id="7"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1"/>
                  <a:srcRect/>
                  <a:stretch>
                    <a:fillRect/>
                  </a:stretch>
                </pic:blipFill>
                <pic:spPr>
                  <a:xfrm>
                    <a:off x="0" y="0"/>
                    <a:ext cx="1153265" cy="6819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B4482F" wp14:editId="0F420619">
          <wp:simplePos x="0" y="0"/>
          <wp:positionH relativeFrom="column">
            <wp:posOffset>-595312</wp:posOffset>
          </wp:positionH>
          <wp:positionV relativeFrom="paragraph">
            <wp:posOffset>86442</wp:posOffset>
          </wp:positionV>
          <wp:extent cx="1201567" cy="624078"/>
          <wp:effectExtent l="0" t="0" r="0" b="0"/>
          <wp:wrapNone/>
          <wp:docPr id="10" name="image5.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Logotipo&#10;&#10;O conteúdo gerado por IA pode estar incorreto."/>
                  <pic:cNvPicPr preferRelativeResize="0"/>
                </pic:nvPicPr>
                <pic:blipFill>
                  <a:blip r:embed="rId2"/>
                  <a:srcRect/>
                  <a:stretch>
                    <a:fillRect/>
                  </a:stretch>
                </pic:blipFill>
                <pic:spPr>
                  <a:xfrm>
                    <a:off x="0" y="0"/>
                    <a:ext cx="1201567" cy="62407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2F0AA72" wp14:editId="15C7CE8E">
          <wp:simplePos x="0" y="0"/>
          <wp:positionH relativeFrom="column">
            <wp:posOffset>4791075</wp:posOffset>
          </wp:positionH>
          <wp:positionV relativeFrom="paragraph">
            <wp:posOffset>140962</wp:posOffset>
          </wp:positionV>
          <wp:extent cx="723066" cy="509001"/>
          <wp:effectExtent l="0" t="0" r="0" b="0"/>
          <wp:wrapNone/>
          <wp:docPr id="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3"/>
                  <a:srcRect/>
                  <a:stretch>
                    <a:fillRect/>
                  </a:stretch>
                </pic:blipFill>
                <pic:spPr>
                  <a:xfrm>
                    <a:off x="0" y="0"/>
                    <a:ext cx="723066" cy="509001"/>
                  </a:xfrm>
                  <a:prstGeom prst="rect">
                    <a:avLst/>
                  </a:prstGeom>
                  <a:ln/>
                </pic:spPr>
              </pic:pic>
            </a:graphicData>
          </a:graphic>
        </wp:anchor>
      </w:drawing>
    </w:r>
    <w:r>
      <w:rPr>
        <w:noProof/>
      </w:rPr>
      <w:drawing>
        <wp:anchor distT="0" distB="0" distL="0" distR="0" simplePos="0" relativeHeight="251661312" behindDoc="1" locked="0" layoutInCell="1" hidden="0" allowOverlap="1" wp14:anchorId="2D4BC9DF" wp14:editId="4F8C30E6">
          <wp:simplePos x="0" y="0"/>
          <wp:positionH relativeFrom="column">
            <wp:posOffset>6391275</wp:posOffset>
          </wp:positionH>
          <wp:positionV relativeFrom="paragraph">
            <wp:posOffset>21900</wp:posOffset>
          </wp:positionV>
          <wp:extent cx="882015" cy="739140"/>
          <wp:effectExtent l="0" t="0" r="0" b="0"/>
          <wp:wrapNone/>
          <wp:docPr id="9"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4"/>
                  <a:srcRect l="64784" t="91487" r="20738"/>
                  <a:stretch>
                    <a:fillRect/>
                  </a:stretch>
                </pic:blipFill>
                <pic:spPr>
                  <a:xfrm>
                    <a:off x="0" y="0"/>
                    <a:ext cx="882015" cy="739140"/>
                  </a:xfrm>
                  <a:prstGeom prst="rect">
                    <a:avLst/>
                  </a:prstGeom>
                  <a:ln/>
                </pic:spPr>
              </pic:pic>
            </a:graphicData>
          </a:graphic>
        </wp:anchor>
      </w:drawing>
    </w:r>
  </w:p>
  <w:p w14:paraId="4EA9E2DD" w14:textId="6D90594D" w:rsidR="000648C0" w:rsidRDefault="008313E1">
    <w:r>
      <w:rPr>
        <w:noProof/>
      </w:rPr>
      <w:drawing>
        <wp:anchor distT="0" distB="0" distL="0" distR="0" simplePos="0" relativeHeight="251662336" behindDoc="1" locked="0" layoutInCell="1" hidden="0" allowOverlap="1" wp14:anchorId="503CCCEF" wp14:editId="273FBE1E">
          <wp:simplePos x="0" y="0"/>
          <wp:positionH relativeFrom="column">
            <wp:posOffset>1501775</wp:posOffset>
          </wp:positionH>
          <wp:positionV relativeFrom="paragraph">
            <wp:posOffset>46355</wp:posOffset>
          </wp:positionV>
          <wp:extent cx="2016760" cy="389890"/>
          <wp:effectExtent l="0" t="0" r="2540" b="0"/>
          <wp:wrapNone/>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2016760" cy="389890"/>
                  </a:xfrm>
                  <a:prstGeom prst="rect">
                    <a:avLst/>
                  </a:prstGeom>
                  <a:ln/>
                </pic:spPr>
              </pic:pic>
            </a:graphicData>
          </a:graphic>
          <wp14:sizeRelH relativeFrom="margin">
            <wp14:pctWidth>0</wp14:pctWidth>
          </wp14:sizeRelH>
        </wp:anchor>
      </w:drawing>
    </w:r>
    <w:r w:rsidR="00266269">
      <w:t xml:space="preserve">                                                                                                                                                             </w:t>
    </w:r>
  </w:p>
  <w:p w14:paraId="66710D1A" w14:textId="77777777" w:rsidR="000648C0" w:rsidRDefault="000648C0">
    <w:pPr>
      <w:ind w:left="-8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5F576" w14:textId="77777777" w:rsidR="00E60500" w:rsidRDefault="00E60500">
      <w:pPr>
        <w:spacing w:line="240" w:lineRule="auto"/>
      </w:pPr>
      <w:r>
        <w:separator/>
      </w:r>
    </w:p>
  </w:footnote>
  <w:footnote w:type="continuationSeparator" w:id="0">
    <w:p w14:paraId="0F6DC2BB" w14:textId="77777777" w:rsidR="00E60500" w:rsidRDefault="00E605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3A33" w14:textId="77777777" w:rsidR="000648C0" w:rsidRDefault="00266269">
    <w:pPr>
      <w:ind w:left="-992"/>
      <w:jc w:val="both"/>
    </w:pPr>
    <w:r>
      <w:rPr>
        <w:noProof/>
      </w:rPr>
      <w:drawing>
        <wp:inline distT="0" distB="0" distL="0" distR="0" wp14:anchorId="3FF298A4" wp14:editId="58D69D19">
          <wp:extent cx="1186751" cy="85388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815A2A"/>
    <w:multiLevelType w:val="multilevel"/>
    <w:tmpl w:val="A6A8F7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6F2529C2"/>
    <w:multiLevelType w:val="multilevel"/>
    <w:tmpl w:val="88DC06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8C0"/>
    <w:rsid w:val="000648C0"/>
    <w:rsid w:val="00266269"/>
    <w:rsid w:val="00550674"/>
    <w:rsid w:val="008313E1"/>
    <w:rsid w:val="00BC43C6"/>
    <w:rsid w:val="00BF2DBC"/>
    <w:rsid w:val="00DE4EF1"/>
    <w:rsid w:val="00E605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B29CC"/>
  <w15:docId w15:val="{DB875D57-5CAB-4A09-8A2B-6C2A63BD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Cabealho">
    <w:name w:val="header"/>
    <w:basedOn w:val="Normal"/>
    <w:link w:val="CabealhoChar"/>
    <w:uiPriority w:val="99"/>
    <w:unhideWhenUsed/>
    <w:rsid w:val="008313E1"/>
    <w:pPr>
      <w:tabs>
        <w:tab w:val="center" w:pos="4252"/>
        <w:tab w:val="right" w:pos="8504"/>
      </w:tabs>
      <w:spacing w:line="240" w:lineRule="auto"/>
    </w:pPr>
  </w:style>
  <w:style w:type="character" w:customStyle="1" w:styleId="CabealhoChar">
    <w:name w:val="Cabeçalho Char"/>
    <w:basedOn w:val="Fontepargpadro"/>
    <w:link w:val="Cabealho"/>
    <w:uiPriority w:val="99"/>
    <w:rsid w:val="008313E1"/>
  </w:style>
  <w:style w:type="paragraph" w:styleId="Rodap">
    <w:name w:val="footer"/>
    <w:basedOn w:val="Normal"/>
    <w:link w:val="RodapChar"/>
    <w:uiPriority w:val="99"/>
    <w:unhideWhenUsed/>
    <w:rsid w:val="008313E1"/>
    <w:pPr>
      <w:tabs>
        <w:tab w:val="center" w:pos="4252"/>
        <w:tab w:val="right" w:pos="8504"/>
      </w:tabs>
      <w:spacing w:line="240" w:lineRule="auto"/>
    </w:pPr>
  </w:style>
  <w:style w:type="character" w:customStyle="1" w:styleId="RodapChar">
    <w:name w:val="Rodapé Char"/>
    <w:basedOn w:val="Fontepargpadro"/>
    <w:link w:val="Rodap"/>
    <w:uiPriority w:val="99"/>
    <w:rsid w:val="008313E1"/>
  </w:style>
  <w:style w:type="table" w:styleId="Tabelacomgrade">
    <w:name w:val="Table Grid"/>
    <w:basedOn w:val="Tabelanormal"/>
    <w:uiPriority w:val="39"/>
    <w:rsid w:val="00DE4E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FGqH8464HrVGSiIsS13iXcCBw==">CgMxLjAaHwoBMBIaChgICVIUChJ0YWJsZS5neGJhcXo5Ym4xczY4AHIhMTA4eHB1MlZ3ME80UzdsQ3lkdm96MkRwRlFBSnRFMEx1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1633</Words>
  <Characters>8819</Characters>
  <Application>Microsoft Office Word</Application>
  <DocSecurity>0</DocSecurity>
  <Lines>73</Lines>
  <Paragraphs>20</Paragraphs>
  <ScaleCrop>false</ScaleCrop>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Bruno Batista Martins</cp:lastModifiedBy>
  <cp:revision>6</cp:revision>
  <dcterms:created xsi:type="dcterms:W3CDTF">2026-02-25T11:03:00Z</dcterms:created>
  <dcterms:modified xsi:type="dcterms:W3CDTF">2026-03-03T12:39:00Z</dcterms:modified>
</cp:coreProperties>
</file>